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2FF98">
      <w:pPr>
        <w:autoSpaceDE w:val="0"/>
        <w:ind w:left="0" w:leftChars="0" w:firstLine="5278" w:firstLineChars="1885"/>
        <w:jc w:val="both"/>
        <w:rPr>
          <w:rStyle w:val="5"/>
          <w:rFonts w:hint="default" w:ascii="Times New Roman" w:hAnsi="Times New Roman" w:cs="Times New Roman"/>
          <w:color w:val="000000" w:themeColor="text1"/>
          <w:sz w:val="28"/>
          <w:szCs w:val="28"/>
          <w14:textFill>
            <w14:solidFill>
              <w14:schemeClr w14:val="tx1"/>
            </w14:solidFill>
          </w14:textFill>
        </w:rPr>
      </w:pPr>
      <w:r>
        <w:rPr>
          <w:rStyle w:val="5"/>
          <w:rFonts w:hint="default" w:ascii="Times New Roman" w:hAnsi="Times New Roman" w:cs="Times New Roman"/>
          <w:color w:val="000000" w:themeColor="text1"/>
          <w:sz w:val="28"/>
          <w:szCs w:val="28"/>
          <w14:textFill>
            <w14:solidFill>
              <w14:schemeClr w14:val="tx1"/>
            </w14:solidFill>
          </w14:textFill>
        </w:rPr>
        <w:t>Приложение</w:t>
      </w:r>
    </w:p>
    <w:p w14:paraId="2BFDFFA1">
      <w:pPr>
        <w:autoSpaceDE w:val="0"/>
        <w:ind w:left="0" w:leftChars="0" w:firstLine="5278" w:firstLineChars="1885"/>
        <w:jc w:val="both"/>
        <w:rPr>
          <w:rStyle w:val="5"/>
          <w:rFonts w:hint="default" w:ascii="Times New Roman" w:hAnsi="Times New Roman" w:cs="Times New Roman"/>
          <w:color w:val="000000" w:themeColor="text1"/>
          <w:sz w:val="28"/>
          <w:szCs w:val="28"/>
          <w14:textFill>
            <w14:solidFill>
              <w14:schemeClr w14:val="tx1"/>
            </w14:solidFill>
          </w14:textFill>
        </w:rPr>
      </w:pPr>
    </w:p>
    <w:p w14:paraId="6A5BBC30">
      <w:pPr>
        <w:autoSpaceDE w:val="0"/>
        <w:ind w:left="0" w:leftChars="0" w:firstLine="5278" w:firstLineChars="1885"/>
        <w:jc w:val="both"/>
        <w:rPr>
          <w:rStyle w:val="5"/>
          <w:rFonts w:hint="default" w:ascii="Times New Roman" w:hAnsi="Times New Roman" w:cs="Times New Roman"/>
          <w:color w:val="000000" w:themeColor="text1"/>
          <w:sz w:val="28"/>
          <w:szCs w:val="28"/>
          <w14:textFill>
            <w14:solidFill>
              <w14:schemeClr w14:val="tx1"/>
            </w14:solidFill>
          </w14:textFill>
        </w:rPr>
      </w:pPr>
      <w:r>
        <w:rPr>
          <w:rStyle w:val="5"/>
          <w:rFonts w:hint="default" w:ascii="Times New Roman" w:hAnsi="Times New Roman" w:cs="Times New Roman"/>
          <w:color w:val="000000" w:themeColor="text1"/>
          <w:sz w:val="28"/>
          <w:szCs w:val="28"/>
          <w:lang w:val="ru-RU"/>
          <w14:textFill>
            <w14:solidFill>
              <w14:schemeClr w14:val="tx1"/>
            </w14:solidFill>
          </w14:textFill>
        </w:rPr>
        <w:t>УТВЕРЖДЁН</w:t>
      </w:r>
    </w:p>
    <w:p w14:paraId="6CC3DCA5">
      <w:pPr>
        <w:autoSpaceDE w:val="0"/>
        <w:ind w:left="0" w:leftChars="0" w:firstLine="5278" w:firstLineChars="1885"/>
        <w:jc w:val="both"/>
        <w:rPr>
          <w:rStyle w:val="5"/>
          <w:rFonts w:hint="default" w:ascii="Times New Roman" w:hAnsi="Times New Roman" w:cs="Times New Roman"/>
          <w:color w:val="000000" w:themeColor="text1"/>
          <w:sz w:val="28"/>
          <w:szCs w:val="28"/>
          <w14:textFill>
            <w14:solidFill>
              <w14:schemeClr w14:val="tx1"/>
            </w14:solidFill>
          </w14:textFill>
        </w:rPr>
      </w:pPr>
    </w:p>
    <w:p w14:paraId="63283F7A">
      <w:pPr>
        <w:autoSpaceDE w:val="0"/>
        <w:ind w:left="0" w:leftChars="0" w:firstLine="5278" w:firstLineChars="1885"/>
        <w:jc w:val="both"/>
        <w:rPr>
          <w:rStyle w:val="5"/>
          <w:rFonts w:hint="default" w:ascii="Times New Roman" w:hAnsi="Times New Roman" w:cs="Times New Roman"/>
          <w:color w:val="000000" w:themeColor="text1"/>
          <w:sz w:val="28"/>
          <w:szCs w:val="28"/>
          <w14:textFill>
            <w14:solidFill>
              <w14:schemeClr w14:val="tx1"/>
            </w14:solidFill>
          </w14:textFill>
        </w:rPr>
      </w:pPr>
      <w:r>
        <w:rPr>
          <w:rStyle w:val="5"/>
          <w:rFonts w:hint="default" w:ascii="Times New Roman" w:hAnsi="Times New Roman" w:cs="Times New Roman"/>
          <w:color w:val="000000" w:themeColor="text1"/>
          <w:sz w:val="28"/>
          <w:szCs w:val="28"/>
          <w14:textFill>
            <w14:solidFill>
              <w14:schemeClr w14:val="tx1"/>
            </w14:solidFill>
          </w14:textFill>
        </w:rPr>
        <w:t>постановлением администрации</w:t>
      </w:r>
    </w:p>
    <w:p w14:paraId="1F9527D1">
      <w:pPr>
        <w:ind w:left="0" w:leftChars="0" w:firstLine="5278" w:firstLineChars="1885"/>
        <w:rPr>
          <w:rStyle w:val="5"/>
          <w:rFonts w:hint="default" w:ascii="Times New Roman" w:hAnsi="Times New Roman" w:cs="Times New Roman"/>
          <w:color w:val="000000" w:themeColor="text1"/>
          <w:sz w:val="28"/>
          <w:szCs w:val="28"/>
          <w:lang w:val="ru-RU"/>
          <w14:textFill>
            <w14:solidFill>
              <w14:schemeClr w14:val="tx1"/>
            </w14:solidFill>
          </w14:textFill>
        </w:rPr>
      </w:pPr>
      <w:r>
        <w:rPr>
          <w:rStyle w:val="5"/>
          <w:rFonts w:hint="default" w:ascii="Times New Roman" w:hAnsi="Times New Roman" w:cs="Times New Roman"/>
          <w:color w:val="000000" w:themeColor="text1"/>
          <w:sz w:val="28"/>
          <w:szCs w:val="28"/>
          <w:lang w:val="ru-RU"/>
          <w14:textFill>
            <w14:solidFill>
              <w14:schemeClr w14:val="tx1"/>
            </w14:solidFill>
          </w14:textFill>
        </w:rPr>
        <w:t>Греховского сельского поселения</w:t>
      </w:r>
    </w:p>
    <w:p w14:paraId="05865F55">
      <w:pPr>
        <w:ind w:left="0" w:leftChars="0" w:firstLine="5280" w:firstLineChars="0"/>
        <w:rPr>
          <w:rStyle w:val="5"/>
          <w:rFonts w:hint="default" w:ascii="Times New Roman" w:hAnsi="Times New Roman" w:cs="Times New Roman"/>
          <w:color w:val="000000" w:themeColor="text1"/>
          <w:sz w:val="28"/>
          <w:szCs w:val="28"/>
          <w:lang w:val="ru-RU"/>
          <w14:textFill>
            <w14:solidFill>
              <w14:schemeClr w14:val="tx1"/>
            </w14:solidFill>
          </w14:textFill>
        </w:rPr>
      </w:pPr>
      <w:r>
        <w:rPr>
          <w:rStyle w:val="5"/>
          <w:rFonts w:hint="default" w:ascii="Times New Roman" w:hAnsi="Times New Roman" w:cs="Times New Roman"/>
          <w:color w:val="000000" w:themeColor="text1"/>
          <w:sz w:val="28"/>
          <w:szCs w:val="28"/>
          <w14:textFill>
            <w14:solidFill>
              <w14:schemeClr w14:val="tx1"/>
            </w14:solidFill>
          </w14:textFill>
        </w:rPr>
        <w:t xml:space="preserve">от </w:t>
      </w:r>
      <w:r>
        <w:rPr>
          <w:rStyle w:val="5"/>
          <w:rFonts w:hint="default" w:ascii="Times New Roman" w:hAnsi="Times New Roman" w:cs="Times New Roman"/>
          <w:color w:val="000000" w:themeColor="text1"/>
          <w:sz w:val="28"/>
          <w:szCs w:val="28"/>
          <w:lang w:val="ru-RU"/>
          <w14:textFill>
            <w14:solidFill>
              <w14:schemeClr w14:val="tx1"/>
            </w14:solidFill>
          </w14:textFill>
        </w:rPr>
        <w:t xml:space="preserve">21.10.2024 </w:t>
      </w:r>
      <w:r>
        <w:rPr>
          <w:rStyle w:val="5"/>
          <w:rFonts w:hint="default" w:ascii="Times New Roman" w:hAnsi="Times New Roman" w:cs="Times New Roman"/>
          <w:color w:val="000000" w:themeColor="text1"/>
          <w:sz w:val="28"/>
          <w:szCs w:val="28"/>
          <w14:textFill>
            <w14:solidFill>
              <w14:schemeClr w14:val="tx1"/>
            </w14:solidFill>
          </w14:textFill>
        </w:rPr>
        <w:t xml:space="preserve">№ </w:t>
      </w:r>
      <w:r>
        <w:rPr>
          <w:rStyle w:val="5"/>
          <w:rFonts w:hint="default" w:ascii="Times New Roman" w:hAnsi="Times New Roman" w:cs="Times New Roman"/>
          <w:color w:val="000000" w:themeColor="text1"/>
          <w:sz w:val="28"/>
          <w:szCs w:val="28"/>
          <w:lang w:val="ru-RU"/>
          <w14:textFill>
            <w14:solidFill>
              <w14:schemeClr w14:val="tx1"/>
            </w14:solidFill>
          </w14:textFill>
        </w:rPr>
        <w:t>78</w:t>
      </w:r>
    </w:p>
    <w:p w14:paraId="73798390">
      <w:pPr>
        <w:ind w:left="0" w:leftChars="0" w:firstLine="5280" w:firstLineChars="0"/>
        <w:rPr>
          <w:rStyle w:val="5"/>
          <w:rFonts w:hint="default" w:cs="Times New Roman"/>
          <w:color w:val="000000" w:themeColor="text1"/>
          <w:sz w:val="28"/>
          <w:szCs w:val="28"/>
          <w:lang w:val="ru-RU"/>
          <w14:textFill>
            <w14:solidFill>
              <w14:schemeClr w14:val="tx1"/>
            </w14:solidFill>
          </w14:textFill>
        </w:rPr>
      </w:pPr>
      <w:r>
        <w:rPr>
          <w:rStyle w:val="5"/>
          <w:rFonts w:hint="default" w:cs="Times New Roman"/>
          <w:color w:val="000000" w:themeColor="text1"/>
          <w:sz w:val="28"/>
          <w:szCs w:val="28"/>
          <w:lang w:val="ru-RU"/>
          <w14:textFill>
            <w14:solidFill>
              <w14:schemeClr w14:val="tx1"/>
            </w14:solidFill>
          </w14:textFill>
        </w:rPr>
        <w:t xml:space="preserve">(в редакции постановления </w:t>
      </w:r>
    </w:p>
    <w:p w14:paraId="41E65592">
      <w:pPr>
        <w:ind w:left="0" w:leftChars="0" w:firstLine="5280" w:firstLineChars="0"/>
        <w:rPr>
          <w:rStyle w:val="5"/>
          <w:rFonts w:hint="default" w:cs="Times New Roman"/>
          <w:color w:val="000000" w:themeColor="text1"/>
          <w:sz w:val="28"/>
          <w:szCs w:val="28"/>
          <w:lang w:val="ru-RU"/>
          <w14:textFill>
            <w14:solidFill>
              <w14:schemeClr w14:val="tx1"/>
            </w14:solidFill>
          </w14:textFill>
        </w:rPr>
      </w:pPr>
      <w:r>
        <w:rPr>
          <w:rStyle w:val="5"/>
          <w:rFonts w:hint="default" w:cs="Times New Roman"/>
          <w:color w:val="000000" w:themeColor="text1"/>
          <w:sz w:val="28"/>
          <w:szCs w:val="28"/>
          <w:lang w:val="ru-RU"/>
          <w14:textFill>
            <w14:solidFill>
              <w14:schemeClr w14:val="tx1"/>
            </w14:solidFill>
          </w14:textFill>
        </w:rPr>
        <w:t>от 26.11.2025 № 133)</w:t>
      </w:r>
    </w:p>
    <w:p w14:paraId="5C5249FF">
      <w:pPr>
        <w:spacing w:before="480"/>
        <w:jc w:val="center"/>
        <w:rPr>
          <w:rFonts w:hint="default" w:ascii="Times New Roman" w:hAnsi="Times New Roman" w:cs="Times New Roman"/>
          <w:b/>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ПОРЯДОК</w:t>
      </w:r>
    </w:p>
    <w:p w14:paraId="47899A8A">
      <w:pPr>
        <w:jc w:val="center"/>
        <w:rPr>
          <w:rFonts w:hint="default" w:ascii="Times New Roman" w:hAnsi="Times New Roman" w:cs="Times New Roman"/>
          <w:b/>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 xml:space="preserve">проведения антикоррупционной экспертизы </w:t>
      </w:r>
    </w:p>
    <w:p w14:paraId="48DE1328">
      <w:pPr>
        <w:jc w:val="center"/>
        <w:rPr>
          <w:rFonts w:hint="default" w:ascii="Times New Roman" w:hAnsi="Times New Roman" w:cs="Times New Roman"/>
          <w:b/>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муниципальных нормативных правовых актов и</w:t>
      </w:r>
    </w:p>
    <w:p w14:paraId="58C9A889">
      <w:pPr>
        <w:jc w:val="center"/>
        <w:rPr>
          <w:rFonts w:hint="default" w:ascii="Times New Roman" w:hAnsi="Times New Roman" w:cs="Times New Roman"/>
          <w:b/>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проектов муниципальных нормативных правовых актов</w:t>
      </w:r>
    </w:p>
    <w:p w14:paraId="3F3FB9AC">
      <w:pPr>
        <w:pStyle w:val="6"/>
        <w:spacing w:line="360" w:lineRule="auto"/>
        <w:ind w:firstLine="709"/>
        <w:jc w:val="both"/>
        <w:rPr>
          <w:rFonts w:hint="default" w:ascii="Times New Roman" w:hAnsi="Times New Roman" w:cs="Times New Roman"/>
          <w:color w:val="000000" w:themeColor="text1"/>
          <w:sz w:val="28"/>
          <w:szCs w:val="28"/>
          <w14:textFill>
            <w14:solidFill>
              <w14:schemeClr w14:val="tx1"/>
            </w14:solidFill>
          </w14:textFill>
        </w:rPr>
      </w:pPr>
    </w:p>
    <w:p w14:paraId="1FA17D0F">
      <w:pPr>
        <w:pStyle w:val="6"/>
        <w:keepNext w:val="0"/>
        <w:keepLines w:val="0"/>
        <w:pageBreakBefore w:val="0"/>
        <w:widowControl/>
        <w:numPr>
          <w:ilvl w:val="0"/>
          <w:numId w:val="1"/>
        </w:numPr>
        <w:kinsoku/>
        <w:wordWrap/>
        <w:overflowPunct/>
        <w:topLinePunct w:val="0"/>
        <w:bidi w:val="0"/>
        <w:snapToGrid/>
        <w:spacing w:line="240" w:lineRule="auto"/>
        <w:ind w:left="1066" w:hanging="357"/>
        <w:jc w:val="both"/>
        <w:textAlignment w:val="auto"/>
        <w:rPr>
          <w:rFonts w:hint="default" w:ascii="Times New Roman" w:hAnsi="Times New Roman" w:cs="Times New Roman"/>
          <w:b/>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Общие положения</w:t>
      </w:r>
    </w:p>
    <w:p w14:paraId="66FA6B98">
      <w:pPr>
        <w:pStyle w:val="6"/>
        <w:keepNext w:val="0"/>
        <w:keepLines w:val="0"/>
        <w:pageBreakBefore w:val="0"/>
        <w:widowControl/>
        <w:kinsoku/>
        <w:wordWrap/>
        <w:overflowPunct/>
        <w:topLinePunct w:val="0"/>
        <w:bidi w:val="0"/>
        <w:snapToGrid/>
        <w:spacing w:line="240" w:lineRule="auto"/>
        <w:ind w:left="1072"/>
        <w:jc w:val="both"/>
        <w:textAlignment w:val="auto"/>
        <w:rPr>
          <w:rFonts w:hint="default" w:ascii="Times New Roman" w:hAnsi="Times New Roman" w:cs="Times New Roman"/>
          <w:b/>
          <w:color w:val="000000" w:themeColor="text1"/>
          <w:sz w:val="28"/>
          <w:szCs w:val="28"/>
          <w14:textFill>
            <w14:solidFill>
              <w14:schemeClr w14:val="tx1"/>
            </w14:solidFill>
          </w14:textFill>
        </w:rPr>
      </w:pPr>
    </w:p>
    <w:p w14:paraId="3DE71BAD">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1.1. Порядок проведения антикоррупционной экспертизы муниципальных нормативных правовых актов и проектов муниципальных нормативных правовых актов (далее – Порядок) определяет процедуру проведения антикоррупционной экспертизы муниципальных нормативных правовых актов и их проектов</w:t>
      </w:r>
      <w:r>
        <w:rPr>
          <w:rFonts w:hint="default" w:ascii="Times New Roman" w:hAnsi="Times New Roman" w:cs="Times New Roman"/>
          <w:color w:val="000000" w:themeColor="text1"/>
          <w:sz w:val="28"/>
          <w:szCs w:val="28"/>
          <w:lang w:val="ru-RU"/>
          <w14:textFill>
            <w14:solidFill>
              <w14:schemeClr w14:val="tx1"/>
            </w14:solidFill>
          </w14:textFill>
        </w:rPr>
        <w:t xml:space="preserve">, разрабатываемых администрацией Греховского сельского поселения </w:t>
      </w:r>
      <w:r>
        <w:rPr>
          <w:rFonts w:hint="default" w:ascii="Times New Roman" w:hAnsi="Times New Roman" w:cs="Times New Roman"/>
          <w:color w:val="000000" w:themeColor="text1"/>
          <w:sz w:val="28"/>
          <w:szCs w:val="28"/>
          <w14:textFill>
            <w14:solidFill>
              <w14:schemeClr w14:val="tx1"/>
            </w14:solidFill>
          </w14:textFill>
        </w:rPr>
        <w:t>(далее – администрация).</w:t>
      </w:r>
    </w:p>
    <w:p w14:paraId="17539A13">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1.2. Целью проведения антикоррупционной экспертизы является выявление в муниципальных нормативных правовых актах и их проектах коррупциогенных факторов и их последующее устранение.</w:t>
      </w:r>
    </w:p>
    <w:p w14:paraId="6FCE4345">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1.3. Основные понятия в настоящем Порядке используются в том же значении, в котором они приведены в Федеральном законе от 25.12.2008№ 273-ФЗ «О противодействии коррупции», Федеральном законе от 17.07.2009 № 172-ФЗ «Об антикоррупционной экспертизе нормативных правовых актов и проектов нормативных правовых актов».</w:t>
      </w:r>
    </w:p>
    <w:p w14:paraId="17D3D3A8">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1.4. При проведении антикоррупционной экспертизы используется Методика проведения антикоррупционной экспертизы нормативных правовых актов и проектов нормативных правовых актов (далее – Методика), утвержденная постановлением Правительства Российской Федерации от 26.02.2010 № 96 «Об антикоррупционной экспертизе нормативных правовых актов и проектов нормативных правовых актов».</w:t>
      </w:r>
    </w:p>
    <w:p w14:paraId="36BB64A9">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p>
    <w:p w14:paraId="072EEA97">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b/>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2. Виды антикоррупционной экспертизы</w:t>
      </w:r>
    </w:p>
    <w:p w14:paraId="13F1BE43">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p>
    <w:p w14:paraId="2B9A111B">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2.1.</w:t>
      </w:r>
      <w:r>
        <w:rPr>
          <w:rFonts w:hint="default" w:ascii="Times New Roman" w:hAnsi="Times New Roman" w:cs="Times New Roman"/>
          <w:color w:val="000000" w:themeColor="text1"/>
          <w:sz w:val="28"/>
          <w:szCs w:val="28"/>
          <w14:textFill>
            <w14:solidFill>
              <w14:schemeClr w14:val="tx1"/>
            </w14:solidFill>
          </w14:textFill>
        </w:rPr>
        <w:tab/>
      </w:r>
      <w:r>
        <w:rPr>
          <w:rFonts w:hint="default" w:ascii="Times New Roman" w:hAnsi="Times New Roman" w:cs="Times New Roman"/>
          <w:color w:val="000000" w:themeColor="text1"/>
          <w:sz w:val="28"/>
          <w:szCs w:val="28"/>
          <w14:textFill>
            <w14:solidFill>
              <w14:schemeClr w14:val="tx1"/>
            </w14:solidFill>
          </w14:textFill>
        </w:rPr>
        <w:t>К видам антикоррупционной экспертизы относятся:</w:t>
      </w:r>
    </w:p>
    <w:p w14:paraId="79754F60">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антикоррупционная экспертиза, осуществляемая при проведении правовой экспертизы проектов муниципальных нормативных правовых актов;</w:t>
      </w:r>
    </w:p>
    <w:p w14:paraId="73361376">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антикоррупционная экспертиза действующих муниципальных нормативных правовых актов;</w:t>
      </w:r>
    </w:p>
    <w:p w14:paraId="619C9A43">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независимая антикоррупционная экспертиза.</w:t>
      </w:r>
    </w:p>
    <w:p w14:paraId="3E43EC6F">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2.2.</w:t>
      </w:r>
      <w:r>
        <w:rPr>
          <w:rFonts w:hint="default" w:ascii="Times New Roman" w:hAnsi="Times New Roman" w:cs="Times New Roman"/>
          <w:color w:val="000000" w:themeColor="text1"/>
          <w:sz w:val="28"/>
          <w:szCs w:val="28"/>
          <w14:textFill>
            <w14:solidFill>
              <w14:schemeClr w14:val="tx1"/>
            </w14:solidFill>
          </w14:textFill>
        </w:rPr>
        <w:tab/>
      </w:r>
      <w:r>
        <w:rPr>
          <w:rFonts w:hint="default" w:ascii="Times New Roman" w:hAnsi="Times New Roman" w:cs="Times New Roman"/>
          <w:color w:val="000000" w:themeColor="text1"/>
          <w:sz w:val="28"/>
          <w:szCs w:val="28"/>
          <w14:textFill>
            <w14:solidFill>
              <w14:schemeClr w14:val="tx1"/>
            </w14:solidFill>
          </w14:textFill>
        </w:rPr>
        <w:t xml:space="preserve">В соответствии с настоящим Порядком </w:t>
      </w:r>
      <w:r>
        <w:rPr>
          <w:rFonts w:hint="default" w:ascii="Times New Roman" w:hAnsi="Times New Roman" w:cs="Times New Roman"/>
          <w:b w:val="0"/>
          <w:bCs w:val="0"/>
          <w:color w:val="000000" w:themeColor="text1"/>
          <w:sz w:val="28"/>
          <w:szCs w:val="28"/>
          <w:lang w:val="ru-RU"/>
          <w14:textFill>
            <w14:solidFill>
              <w14:schemeClr w14:val="tx1"/>
            </w14:solidFill>
          </w14:textFill>
        </w:rPr>
        <w:t>специалист</w:t>
      </w:r>
      <w:r>
        <w:rPr>
          <w:rFonts w:hint="default" w:ascii="Times New Roman" w:hAnsi="Times New Roman" w:cs="Times New Roman"/>
          <w:b/>
          <w:bCs/>
          <w:color w:val="000000" w:themeColor="text1"/>
          <w:sz w:val="28"/>
          <w:szCs w:val="28"/>
          <w14:textFill>
            <w14:solidFill>
              <w14:schemeClr w14:val="tx1"/>
            </w14:solidFill>
          </w14:textFill>
        </w:rPr>
        <w:t xml:space="preserve"> </w:t>
      </w:r>
      <w:r>
        <w:rPr>
          <w:rFonts w:hint="default" w:ascii="Times New Roman" w:hAnsi="Times New Roman" w:cs="Times New Roman"/>
          <w:color w:val="000000" w:themeColor="text1"/>
          <w:sz w:val="28"/>
          <w:szCs w:val="28"/>
          <w14:textFill>
            <w14:solidFill>
              <w14:schemeClr w14:val="tx1"/>
            </w14:solidFill>
          </w14:textFill>
        </w:rPr>
        <w:t>администрации (далее – ответственное лицо) проводит антикоррупционную экспертизу муниципальных нормативных правовых актов, предусмотренных абзацем третьим пункта 2.1 настоящего Порядка.</w:t>
      </w:r>
    </w:p>
    <w:p w14:paraId="663D76E7">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 xml:space="preserve">Проекты муниципальных нормативных правовых актов, предусмотренных абзацем вторым пункта 2.1 настоящего Порядка, направляются для проведения антикоррупционной экспертизы в администрацию муниципального образования Советский муниципальный район Кировской области (далее – администрация Советского района), в соответствии с заключенным соглашением. </w:t>
      </w:r>
    </w:p>
    <w:p w14:paraId="3A5D5EAC">
      <w:pPr>
        <w:keepNext w:val="0"/>
        <w:keepLines w:val="0"/>
        <w:pageBreakBefore w:val="0"/>
        <w:widowControl/>
        <w:kinsoku/>
        <w:wordWrap/>
        <w:overflowPunct/>
        <w:topLinePunct w:val="0"/>
        <w:autoSpaceDE w:val="0"/>
        <w:autoSpaceDN w:val="0"/>
        <w:bidi w:val="0"/>
        <w:adjustRightInd w:val="0"/>
        <w:snapToGrid/>
        <w:spacing w:line="240" w:lineRule="auto"/>
        <w:ind w:firstLine="709"/>
        <w:jc w:val="both"/>
        <w:textAlignment w:val="auto"/>
        <w:rPr>
          <w:rFonts w:hint="default" w:ascii="Times New Roman" w:hAnsi="Times New Roman" w:cs="Times New Roman"/>
          <w:bCs/>
          <w:color w:val="000000" w:themeColor="text1"/>
          <w:sz w:val="28"/>
          <w:szCs w:val="28"/>
          <w14:textFill>
            <w14:solidFill>
              <w14:schemeClr w14:val="tx1"/>
            </w14:solidFill>
          </w14:textFill>
        </w:rPr>
      </w:pPr>
      <w:r>
        <w:rPr>
          <w:rFonts w:hint="default" w:ascii="Times New Roman" w:hAnsi="Times New Roman" w:cs="Times New Roman"/>
          <w:bCs/>
          <w:color w:val="000000" w:themeColor="text1"/>
          <w:sz w:val="28"/>
          <w:szCs w:val="28"/>
          <w14:textFill>
            <w14:solidFill>
              <w14:schemeClr w14:val="tx1"/>
            </w14:solidFill>
          </w14:textFill>
        </w:rPr>
        <w:t xml:space="preserve">2.3. Поступившие на антикоррупционную экспертизу </w:t>
      </w:r>
      <w:r>
        <w:rPr>
          <w:rFonts w:hint="default" w:ascii="Times New Roman" w:hAnsi="Times New Roman" w:cs="Times New Roman"/>
          <w:color w:val="000000" w:themeColor="text1"/>
          <w:sz w:val="28"/>
          <w:szCs w:val="28"/>
          <w14:textFill>
            <w14:solidFill>
              <w14:schemeClr w14:val="tx1"/>
            </w14:solidFill>
          </w14:textFill>
        </w:rPr>
        <w:t xml:space="preserve">муниципальные нормативные правовые акты </w:t>
      </w:r>
      <w:r>
        <w:rPr>
          <w:rFonts w:hint="default" w:ascii="Times New Roman" w:hAnsi="Times New Roman" w:cs="Times New Roman"/>
          <w:bCs/>
          <w:color w:val="000000" w:themeColor="text1"/>
          <w:sz w:val="28"/>
          <w:szCs w:val="28"/>
          <w14:textFill>
            <w14:solidFill>
              <w14:schemeClr w14:val="tx1"/>
            </w14:solidFill>
          </w14:textFill>
        </w:rPr>
        <w:t>в день поступления регистрируются о</w:t>
      </w:r>
      <w:r>
        <w:rPr>
          <w:rFonts w:hint="default" w:ascii="Times New Roman" w:hAnsi="Times New Roman" w:cs="Times New Roman"/>
          <w:color w:val="000000" w:themeColor="text1"/>
          <w:sz w:val="28"/>
          <w:szCs w:val="28"/>
          <w14:textFill>
            <w14:solidFill>
              <w14:schemeClr w14:val="tx1"/>
            </w14:solidFill>
          </w14:textFill>
        </w:rPr>
        <w:t xml:space="preserve">тветственным лицом </w:t>
      </w:r>
      <w:r>
        <w:rPr>
          <w:rFonts w:hint="default" w:ascii="Times New Roman" w:hAnsi="Times New Roman" w:cs="Times New Roman"/>
          <w:bCs/>
          <w:color w:val="000000" w:themeColor="text1"/>
          <w:sz w:val="28"/>
          <w:szCs w:val="28"/>
          <w14:textFill>
            <w14:solidFill>
              <w14:schemeClr w14:val="tx1"/>
            </w14:solidFill>
          </w14:textFill>
        </w:rPr>
        <w:t>в журнале регистрации нормативных правовых актов, поступивших на антикоррупционную экспертизу (далее – журнал), согласно приложению. Журнал ведется на бумажном носителе или в электронном виде.</w:t>
      </w:r>
    </w:p>
    <w:p w14:paraId="79F53950">
      <w:pPr>
        <w:keepNext w:val="0"/>
        <w:keepLines w:val="0"/>
        <w:pageBreakBefore w:val="0"/>
        <w:widowControl/>
        <w:kinsoku/>
        <w:wordWrap/>
        <w:overflowPunct/>
        <w:topLinePunct w:val="0"/>
        <w:autoSpaceDE w:val="0"/>
        <w:autoSpaceDN w:val="0"/>
        <w:bidi w:val="0"/>
        <w:adjustRightInd w:val="0"/>
        <w:snapToGrid/>
        <w:spacing w:line="240" w:lineRule="auto"/>
        <w:ind w:firstLine="709"/>
        <w:jc w:val="both"/>
        <w:textAlignment w:val="auto"/>
        <w:rPr>
          <w:rFonts w:hint="default" w:ascii="Times New Roman" w:hAnsi="Times New Roman" w:cs="Times New Roman"/>
          <w:bCs/>
          <w:color w:val="000000" w:themeColor="text1"/>
          <w:sz w:val="28"/>
          <w:szCs w:val="28"/>
          <w14:textFill>
            <w14:solidFill>
              <w14:schemeClr w14:val="tx1"/>
            </w14:solidFill>
          </w14:textFill>
        </w:rPr>
      </w:pPr>
    </w:p>
    <w:p w14:paraId="114957C3">
      <w:pPr>
        <w:pStyle w:val="6"/>
        <w:keepNext w:val="0"/>
        <w:keepLines w:val="0"/>
        <w:pageBreakBefore w:val="0"/>
        <w:widowControl/>
        <w:numPr>
          <w:ilvl w:val="0"/>
          <w:numId w:val="2"/>
        </w:numPr>
        <w:kinsoku/>
        <w:wordWrap/>
        <w:overflowPunct/>
        <w:topLinePunct w:val="0"/>
        <w:bidi w:val="0"/>
        <w:snapToGrid/>
        <w:spacing w:line="240" w:lineRule="auto"/>
        <w:ind w:left="9" w:leftChars="0" w:firstLine="700" w:firstLineChars="0"/>
        <w:jc w:val="both"/>
        <w:textAlignment w:val="auto"/>
        <w:rPr>
          <w:rFonts w:hint="default" w:ascii="Times New Roman" w:hAnsi="Times New Roman" w:cs="Times New Roman"/>
          <w:b/>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Порядок проведения антикоррупционной экспертизы проектов муниципальных нормативных правовых актов</w:t>
      </w:r>
    </w:p>
    <w:p w14:paraId="461D6482">
      <w:pPr>
        <w:pStyle w:val="6"/>
        <w:keepNext w:val="0"/>
        <w:keepLines w:val="0"/>
        <w:pageBreakBefore w:val="0"/>
        <w:widowControl/>
        <w:kinsoku/>
        <w:wordWrap/>
        <w:overflowPunct/>
        <w:topLinePunct w:val="0"/>
        <w:bidi w:val="0"/>
        <w:snapToGrid/>
        <w:spacing w:line="240" w:lineRule="auto"/>
        <w:ind w:left="1072"/>
        <w:jc w:val="both"/>
        <w:textAlignment w:val="auto"/>
        <w:rPr>
          <w:rFonts w:hint="default" w:ascii="Times New Roman" w:hAnsi="Times New Roman" w:cs="Times New Roman"/>
          <w:b/>
          <w:color w:val="000000" w:themeColor="text1"/>
          <w:sz w:val="28"/>
          <w:szCs w:val="28"/>
          <w14:textFill>
            <w14:solidFill>
              <w14:schemeClr w14:val="tx1"/>
            </w14:solidFill>
          </w14:textFill>
        </w:rPr>
      </w:pPr>
    </w:p>
    <w:p w14:paraId="1F3EC971">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3.1. Проекты муниципальных нормативных правовых актов для проведения антикоррупционной экспертизы направляются ответственным лицом в администрацию Советского района не позднее, чем за 10 рабочих дней до дня их планируемого принятия.</w:t>
      </w:r>
    </w:p>
    <w:p w14:paraId="3B60EC2D">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3.2. При поступлении из администрации Советского района заключения по результатам антикоррупционной экспертизы с выводами о наличии в проекте признаков коррупциогенности, разработчик проекта муниципального нормативного правового акта, получив заключение по результатам антикоррупционной экспертизы подготовленного им проекта муниципального нормативного правового акта, не позднее 5 рабочих дней со дня его получения:</w:t>
      </w:r>
    </w:p>
    <w:p w14:paraId="564E7CB7">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3.2.1. Вносит изменения в проект муниципального нормативного правового акта с учетом заключения по результатам антикоррупционной экспертизы и направляет доработанный проект муниципального нормативного правового акта на повторную антикоррупционную экспертизу.</w:t>
      </w:r>
    </w:p>
    <w:p w14:paraId="57352F31">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3.2.2. Принимает решение об отзыве проекта муниципального нормативного правового акта.</w:t>
      </w:r>
    </w:p>
    <w:p w14:paraId="3B2EB9D1">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p>
    <w:p w14:paraId="263A7988">
      <w:pPr>
        <w:pStyle w:val="6"/>
        <w:keepNext w:val="0"/>
        <w:keepLines w:val="0"/>
        <w:pageBreakBefore w:val="0"/>
        <w:widowControl/>
        <w:numPr>
          <w:ilvl w:val="0"/>
          <w:numId w:val="2"/>
        </w:numPr>
        <w:kinsoku/>
        <w:wordWrap/>
        <w:overflowPunct/>
        <w:topLinePunct w:val="0"/>
        <w:bidi w:val="0"/>
        <w:snapToGrid/>
        <w:spacing w:line="240" w:lineRule="auto"/>
        <w:ind w:left="9" w:leftChars="0" w:firstLine="700" w:firstLineChars="0"/>
        <w:jc w:val="both"/>
        <w:textAlignment w:val="auto"/>
        <w:rPr>
          <w:rFonts w:hint="default" w:ascii="Times New Roman" w:hAnsi="Times New Roman" w:cs="Times New Roman"/>
          <w:b/>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Порядок проведения антикоррупционной экспертизы муниципальных нормативных правовых актов</w:t>
      </w:r>
    </w:p>
    <w:p w14:paraId="6482D9A2">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b/>
          <w:color w:val="000000" w:themeColor="text1"/>
          <w:sz w:val="28"/>
          <w:szCs w:val="28"/>
          <w14:textFill>
            <w14:solidFill>
              <w14:schemeClr w14:val="tx1"/>
            </w14:solidFill>
          </w14:textFill>
        </w:rPr>
      </w:pPr>
    </w:p>
    <w:p w14:paraId="36D1E3A1">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shd w:val="clear" w:color="auto" w:fill="FFFFFF"/>
          <w14:textFill>
            <w14:solidFill>
              <w14:schemeClr w14:val="tx1"/>
            </w14:solidFill>
          </w14:textFill>
        </w:rPr>
        <w:t xml:space="preserve">4.1. </w:t>
      </w:r>
      <w:r>
        <w:rPr>
          <w:rFonts w:hint="default" w:ascii="Times New Roman" w:hAnsi="Times New Roman" w:cs="Times New Roman"/>
          <w:color w:val="000000" w:themeColor="text1"/>
          <w:sz w:val="28"/>
          <w:szCs w:val="28"/>
          <w14:textFill>
            <w14:solidFill>
              <w14:schemeClr w14:val="tx1"/>
            </w14:solidFill>
          </w14:textFill>
        </w:rPr>
        <w:t xml:space="preserve">Муниципальные служащие администрации в соответствии со своей компетенцией осуществляют проверку принятых администрацией муниципальных нормативных правовых актов при мониторинге их применения для выявления в них коррупциогенных факторов, положений, способствующих созданию условий для проявления коррупции, согласно Методике. </w:t>
      </w:r>
    </w:p>
    <w:p w14:paraId="33B4059D">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4.2. В случае обнаружения в муниципальном нормативном правовом акте</w:t>
      </w:r>
      <w:r>
        <w:rPr>
          <w:rFonts w:hint="default" w:ascii="Times New Roman" w:hAnsi="Times New Roman" w:cs="Times New Roman"/>
          <w:color w:val="000000" w:themeColor="text1"/>
          <w:sz w:val="28"/>
          <w:szCs w:val="28"/>
          <w:lang w:val="ru-RU"/>
          <w14:textFill>
            <w14:solidFill>
              <w14:schemeClr w14:val="tx1"/>
            </w14:solidFill>
          </w14:textFill>
        </w:rPr>
        <w:t xml:space="preserve"> </w:t>
      </w:r>
      <w:r>
        <w:rPr>
          <w:rFonts w:hint="default" w:ascii="Times New Roman" w:hAnsi="Times New Roman" w:cs="Times New Roman"/>
          <w:color w:val="000000" w:themeColor="text1"/>
          <w:sz w:val="28"/>
          <w:szCs w:val="28"/>
          <w14:textFill>
            <w14:solidFill>
              <w14:schemeClr w14:val="tx1"/>
            </w14:solidFill>
          </w14:textFill>
        </w:rPr>
        <w:t>коррупциогенных факторов, положений, способствующих созданию условий для проявления коррупции, муниципальный нормативный правовой акт с мотивированным заключением направляется не позднее 3-х рабочих дней со дня выявления указанных факторов, положений ответственному лицу на антикоррупционную экспертизу.</w:t>
      </w:r>
    </w:p>
    <w:p w14:paraId="41EA1D41">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4.3.</w:t>
      </w:r>
      <w:r>
        <w:rPr>
          <w:rFonts w:hint="default" w:ascii="Times New Roman" w:hAnsi="Times New Roman" w:cs="Times New Roman"/>
          <w:color w:val="000000" w:themeColor="text1"/>
          <w:sz w:val="28"/>
          <w:szCs w:val="28"/>
          <w14:textFill>
            <w14:solidFill>
              <w14:schemeClr w14:val="tx1"/>
            </w14:solidFill>
          </w14:textFill>
        </w:rPr>
        <w:tab/>
      </w:r>
      <w:r>
        <w:rPr>
          <w:rFonts w:hint="default" w:ascii="Times New Roman" w:hAnsi="Times New Roman" w:cs="Times New Roman"/>
          <w:color w:val="000000" w:themeColor="text1"/>
          <w:sz w:val="28"/>
          <w:szCs w:val="28"/>
          <w14:textFill>
            <w14:solidFill>
              <w14:schemeClr w14:val="tx1"/>
            </w14:solidFill>
          </w14:textFill>
        </w:rPr>
        <w:t>Срок проведения антикоррупционной экспертизы муниципального нормативного правового акта составляет 10 рабочих дней со дня поступления муниципального нормативного правового акта с мотивированным заключением ответственному лицу.</w:t>
      </w:r>
    </w:p>
    <w:p w14:paraId="31D026E1">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4.3.1. В случае выявления в муниципальном нормативном правовом акте коррупциогенных факторов, положений, способствующих созданию условий для проявления коррупции, ответственным лицом осуществляется подготовка заключения по результатам антикоррупционной экспертизы.</w:t>
      </w:r>
    </w:p>
    <w:p w14:paraId="669EE5AD">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4.3.2.Заключение по результатам антикоррупционной экспертизы должно содержать:</w:t>
      </w:r>
    </w:p>
    <w:p w14:paraId="0EDC2588">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4.3.3. Наименование и реквизиты муниципального нормативного правового акта, представленного на антикоррупционную экспертизу.</w:t>
      </w:r>
    </w:p>
    <w:p w14:paraId="42F890BB">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4.3.4. Основания для проведения антикоррупционной экспертизы.</w:t>
      </w:r>
    </w:p>
    <w:p w14:paraId="4F589B15">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4.3.5. Наименование и реквизиты нормативных правовых актов, которые использовались для выявления коррупциогенных норм и положений права, определений судов, научной литературы и т.п.</w:t>
      </w:r>
    </w:p>
    <w:p w14:paraId="17E4BC67">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4.3.6. Конкретные положения муниципального нормативного правового акта, содержащие коррупциогенные нормы, с указанием структурных единиц муниципального нормативного правового акта (разделов, глав, статей, частей, пунктов, подпунктов, абзацев)и соответствующих коррупциогенных факторов.</w:t>
      </w:r>
    </w:p>
    <w:p w14:paraId="0B20F033">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Выявленные при проведении антикоррупционной экспертизы положения, которые не относятся к коррупциогенным факторам, но могут способствовать созданию условий для проявления коррупции, также указываются в заключении по результатам антикоррупционной экспертизы.</w:t>
      </w:r>
    </w:p>
    <w:p w14:paraId="710E4B4A">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4.3.7. Рекомендации по изменению формулировок правовых норм либо предложения по исключению отдельных норм и положений для устранения коррупциогенности муниципального нормативного правового акта.</w:t>
      </w:r>
    </w:p>
    <w:p w14:paraId="5D20CE2F">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В заключении по результатам антикоррупционной экспертизы могут быть отражены возможные негативные последствия сохранения в документе выявленных коррупциогенных факторов.</w:t>
      </w:r>
    </w:p>
    <w:p w14:paraId="758A9D57">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4.3.8. Вывод о наличии в проекте муниципального нормативного правового акта признаков коррупциогенности.</w:t>
      </w:r>
    </w:p>
    <w:p w14:paraId="67DB1B12">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4.4. На основании заключения по результатам антикоррупционной экспертизы, подготовленного ответственным лицом, разработчик муниципального нормативного правового акта не позднее 10 рабочих дней со дня получения заключении по результатам антикоррупционной экспертизы обеспечивает подготовку проекта муниципального нормативного правового акта администрации о внесении изменений в муниципальный нормативный правовой акт либо о его отмене (признании утратившим силу).</w:t>
      </w:r>
    </w:p>
    <w:p w14:paraId="5DF6C7CB">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b/>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5. Независимая антикоррупционная экспертиза</w:t>
      </w:r>
    </w:p>
    <w:p w14:paraId="2576B7E0">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p>
    <w:p w14:paraId="788CD9AB">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5.1.</w:t>
      </w:r>
      <w:r>
        <w:rPr>
          <w:rFonts w:hint="default" w:ascii="Times New Roman" w:hAnsi="Times New Roman" w:cs="Times New Roman"/>
          <w:color w:val="000000" w:themeColor="text1"/>
          <w:sz w:val="28"/>
          <w:szCs w:val="28"/>
          <w14:textFill>
            <w14:solidFill>
              <w14:schemeClr w14:val="tx1"/>
            </w14:solidFill>
          </w14:textFill>
        </w:rPr>
        <w:tab/>
      </w:r>
      <w:r>
        <w:rPr>
          <w:rFonts w:hint="default" w:ascii="Times New Roman" w:hAnsi="Times New Roman" w:cs="Times New Roman"/>
          <w:color w:val="000000" w:themeColor="text1"/>
          <w:sz w:val="28"/>
          <w:szCs w:val="28"/>
          <w14:textFill>
            <w14:solidFill>
              <w14:schemeClr w14:val="tx1"/>
            </w14:solidFill>
          </w14:textFill>
        </w:rPr>
        <w:t>Независимая антикоррупционная экспертиза проводится юридическими лицами и физическими лицами,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w:t>
      </w:r>
    </w:p>
    <w:p w14:paraId="7B711C93">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5.2. Для проведения независимой антикоррупционной экспертизы администрация размещает проект муниципального нормативного правового акта на официальном сайте администрации в информационно-телекоммуникационной сети «Интернет».</w:t>
      </w:r>
    </w:p>
    <w:p w14:paraId="76365881">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Одновременно с текстом проекта муниципального нормативного правового акта на официальном сайте в информационно-телекоммуникационной сети «Интернет» должна быть размещена следующая информация:</w:t>
      </w:r>
    </w:p>
    <w:p w14:paraId="246A03B4">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наименование разработчика проекта муниципального нормативного правового акта;</w:t>
      </w:r>
    </w:p>
    <w:p w14:paraId="3F464701">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даты начала и окончания приема заключений по результатам независимой антикоррупционной экспертизы;</w:t>
      </w:r>
    </w:p>
    <w:p w14:paraId="15178728">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почтовый адрес и адрес электронной почты для направления заключений.</w:t>
      </w:r>
    </w:p>
    <w:p w14:paraId="460EEE38">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Срок, устанавливаемый для проведения независимой антикоррупционной экспертизы, не может быть менее 7 календарных дней и исчисляется со дня размещения проекта муниципального нормативного правового акта на официальном сайте в информационно-телекоммуникационной сети «Интернет».</w:t>
      </w:r>
    </w:p>
    <w:p w14:paraId="35830BB0">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5.3. Результаты независимой антикоррупционной экспертизы отражаются в заключении.</w:t>
      </w:r>
    </w:p>
    <w:p w14:paraId="0BEC9271">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5.4. Заключение по результатам независимой антикоррупционной экспертизы носит рекомендательный характер и подлежит обязательному рассмотрению администрацией в течение 30 календарных дней со дня его получения.</w:t>
      </w:r>
    </w:p>
    <w:p w14:paraId="3AAE6FF6">
      <w:pPr>
        <w:pStyle w:val="6"/>
        <w:keepNext w:val="0"/>
        <w:keepLines w:val="0"/>
        <w:pageBreakBefore w:val="0"/>
        <w:widowControl/>
        <w:kinsoku/>
        <w:wordWrap/>
        <w:overflowPunct/>
        <w:topLinePunct w:val="0"/>
        <w:bidi w:val="0"/>
        <w:snapToGrid/>
        <w:spacing w:line="240" w:lineRule="auto"/>
        <w:ind w:firstLine="709"/>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lang w:val="ru-RU"/>
          <w14:textFill>
            <w14:solidFill>
              <w14:schemeClr w14:val="tx1"/>
            </w14:solidFill>
          </w14:textFill>
        </w:rPr>
        <w:t>По результатам рассмотрения юридическому или физическому лицу, проводившему независимую антикоррупционную экспертизу, администрацией направляется мотивированный ответ (за исключением случаев, когда в заключении отсутствует информация о выявленных коррупциогенных факторах или предложение о способе устранения выявленных коррупциогенных факторов), в котором отражается учет результатов независимой антикоррупционной экспертизы и (или) причины несогласия с выявленным в муниципальном нормативном правовом акте или проекте муниципального нормативного правового акта коррупциогенным фактором.</w:t>
      </w:r>
      <w:bookmarkStart w:id="0" w:name="_GoBack"/>
      <w:bookmarkEnd w:id="0"/>
    </w:p>
    <w:p w14:paraId="45A0CD6B"/>
    <w:p w14:paraId="01980ED5">
      <w:pPr>
        <w:jc w:val="center"/>
        <w:rPr>
          <w:rFonts w:hint="default"/>
          <w:lang w:val="ru-RU"/>
        </w:rPr>
        <w:sectPr>
          <w:pgSz w:w="11906" w:h="16838"/>
          <w:pgMar w:top="1134" w:right="850" w:bottom="1134" w:left="1417" w:header="720" w:footer="720" w:gutter="0"/>
          <w:cols w:space="720" w:num="1"/>
          <w:docGrid w:linePitch="360" w:charSpace="0"/>
        </w:sectPr>
      </w:pPr>
      <w:r>
        <w:rPr>
          <w:rFonts w:hint="default"/>
          <w:lang w:val="ru-RU"/>
        </w:rPr>
        <w:t>_____________</w:t>
      </w:r>
    </w:p>
    <w:p w14:paraId="6067973A">
      <w:pPr>
        <w:autoSpaceDE w:val="0"/>
        <w:autoSpaceDN w:val="0"/>
        <w:adjustRightInd w:val="0"/>
        <w:ind w:right="-315" w:firstLine="11340"/>
        <w:outlineLvl w:val="0"/>
        <w:rPr>
          <w:rFonts w:eastAsiaTheme="minorHAnsi"/>
          <w:sz w:val="28"/>
          <w:szCs w:val="28"/>
          <w:lang w:eastAsia="en-US"/>
        </w:rPr>
      </w:pPr>
      <w:r>
        <w:rPr>
          <w:rFonts w:eastAsiaTheme="minorHAnsi"/>
          <w:sz w:val="28"/>
          <w:szCs w:val="28"/>
          <w:lang w:eastAsia="en-US"/>
        </w:rPr>
        <w:t>Приложение</w:t>
      </w:r>
    </w:p>
    <w:p w14:paraId="4A5B04B1">
      <w:pPr>
        <w:autoSpaceDE w:val="0"/>
        <w:autoSpaceDN w:val="0"/>
        <w:adjustRightInd w:val="0"/>
        <w:ind w:right="-315" w:firstLine="11340"/>
        <w:outlineLvl w:val="0"/>
        <w:rPr>
          <w:rFonts w:eastAsiaTheme="minorHAnsi"/>
          <w:sz w:val="28"/>
          <w:szCs w:val="28"/>
          <w:lang w:eastAsia="en-US"/>
        </w:rPr>
      </w:pPr>
    </w:p>
    <w:p w14:paraId="28544BDA">
      <w:pPr>
        <w:autoSpaceDE w:val="0"/>
        <w:autoSpaceDN w:val="0"/>
        <w:adjustRightInd w:val="0"/>
        <w:ind w:right="-315" w:firstLine="11340"/>
        <w:outlineLvl w:val="0"/>
        <w:rPr>
          <w:rFonts w:eastAsiaTheme="minorHAnsi"/>
          <w:sz w:val="28"/>
          <w:szCs w:val="28"/>
          <w:lang w:eastAsia="en-US"/>
        </w:rPr>
      </w:pPr>
      <w:r>
        <w:rPr>
          <w:rFonts w:eastAsiaTheme="minorHAnsi"/>
          <w:sz w:val="28"/>
          <w:szCs w:val="28"/>
          <w:lang w:eastAsia="en-US"/>
        </w:rPr>
        <w:t>к Порядку</w:t>
      </w:r>
    </w:p>
    <w:p w14:paraId="18B1E6DD">
      <w:pPr>
        <w:autoSpaceDE w:val="0"/>
        <w:autoSpaceDN w:val="0"/>
        <w:adjustRightInd w:val="0"/>
        <w:spacing w:before="480"/>
        <w:jc w:val="center"/>
        <w:rPr>
          <w:rFonts w:eastAsiaTheme="minorHAnsi"/>
          <w:b/>
          <w:sz w:val="28"/>
          <w:szCs w:val="28"/>
          <w:lang w:eastAsia="en-US"/>
        </w:rPr>
      </w:pPr>
      <w:r>
        <w:rPr>
          <w:rFonts w:eastAsiaTheme="minorHAnsi"/>
          <w:b/>
          <w:sz w:val="28"/>
          <w:szCs w:val="28"/>
          <w:lang w:eastAsia="en-US"/>
        </w:rPr>
        <w:t>ЖУРНАЛ</w:t>
      </w:r>
    </w:p>
    <w:p w14:paraId="7537ADFD">
      <w:pPr>
        <w:autoSpaceDE w:val="0"/>
        <w:autoSpaceDN w:val="0"/>
        <w:adjustRightInd w:val="0"/>
        <w:jc w:val="center"/>
        <w:rPr>
          <w:rFonts w:eastAsiaTheme="minorHAnsi"/>
          <w:b/>
          <w:sz w:val="28"/>
          <w:szCs w:val="28"/>
          <w:lang w:eastAsia="en-US"/>
        </w:rPr>
      </w:pPr>
      <w:r>
        <w:rPr>
          <w:rFonts w:eastAsiaTheme="minorHAnsi"/>
          <w:b/>
          <w:sz w:val="28"/>
          <w:szCs w:val="28"/>
          <w:lang w:eastAsia="en-US"/>
        </w:rPr>
        <w:t>регистрации муниципальных нормативных правовых актов, поступивших на антикоррупционную экспертизу</w:t>
      </w:r>
    </w:p>
    <w:p w14:paraId="78BA72A1">
      <w:pPr>
        <w:autoSpaceDE w:val="0"/>
        <w:autoSpaceDN w:val="0"/>
        <w:adjustRightInd w:val="0"/>
        <w:jc w:val="both"/>
        <w:rPr>
          <w:rFonts w:eastAsiaTheme="minorHAnsi"/>
          <w:lang w:eastAsia="en-US"/>
        </w:rPr>
      </w:pPr>
    </w:p>
    <w:tbl>
      <w:tblPr>
        <w:tblStyle w:val="3"/>
        <w:tblW w:w="14664" w:type="dxa"/>
        <w:tblInd w:w="0" w:type="dxa"/>
        <w:tblLayout w:type="fixed"/>
        <w:tblCellMar>
          <w:top w:w="102" w:type="dxa"/>
          <w:left w:w="62" w:type="dxa"/>
          <w:bottom w:w="102" w:type="dxa"/>
          <w:right w:w="62" w:type="dxa"/>
        </w:tblCellMar>
      </w:tblPr>
      <w:tblGrid>
        <w:gridCol w:w="510"/>
        <w:gridCol w:w="2104"/>
        <w:gridCol w:w="2410"/>
        <w:gridCol w:w="2552"/>
        <w:gridCol w:w="2977"/>
        <w:gridCol w:w="1785"/>
        <w:gridCol w:w="2326"/>
      </w:tblGrid>
      <w:tr w14:paraId="00C63B82">
        <w:tblPrEx>
          <w:tblCellMar>
            <w:top w:w="102" w:type="dxa"/>
            <w:left w:w="62" w:type="dxa"/>
            <w:bottom w:w="102" w:type="dxa"/>
            <w:right w:w="62" w:type="dxa"/>
          </w:tblCellMar>
        </w:tblPrEx>
        <w:trPr>
          <w:trHeight w:val="0" w:hRule="atLeast"/>
        </w:trPr>
        <w:tc>
          <w:tcPr>
            <w:tcW w:w="510" w:type="dxa"/>
            <w:tcBorders>
              <w:top w:val="single" w:color="auto" w:sz="4" w:space="0"/>
              <w:left w:val="single" w:color="auto" w:sz="4" w:space="0"/>
              <w:bottom w:val="single" w:color="auto" w:sz="4" w:space="0"/>
              <w:right w:val="single" w:color="auto" w:sz="4" w:space="0"/>
            </w:tcBorders>
          </w:tcPr>
          <w:p w14:paraId="270B0E63">
            <w:pPr>
              <w:autoSpaceDE w:val="0"/>
              <w:autoSpaceDN w:val="0"/>
              <w:adjustRightInd w:val="0"/>
              <w:jc w:val="center"/>
              <w:rPr>
                <w:rFonts w:eastAsiaTheme="minorHAnsi"/>
                <w:lang w:eastAsia="en-US"/>
              </w:rPr>
            </w:pPr>
            <w:r>
              <w:rPr>
                <w:rFonts w:eastAsiaTheme="minorHAnsi"/>
                <w:lang w:eastAsia="en-US"/>
              </w:rPr>
              <w:t>№ п/п</w:t>
            </w:r>
          </w:p>
        </w:tc>
        <w:tc>
          <w:tcPr>
            <w:tcW w:w="2104" w:type="dxa"/>
            <w:tcBorders>
              <w:top w:val="single" w:color="auto" w:sz="4" w:space="0"/>
              <w:left w:val="single" w:color="auto" w:sz="4" w:space="0"/>
              <w:bottom w:val="single" w:color="auto" w:sz="4" w:space="0"/>
              <w:right w:val="single" w:color="auto" w:sz="4" w:space="0"/>
            </w:tcBorders>
          </w:tcPr>
          <w:p w14:paraId="2E1FFDD2">
            <w:pPr>
              <w:autoSpaceDE w:val="0"/>
              <w:autoSpaceDN w:val="0"/>
              <w:adjustRightInd w:val="0"/>
              <w:jc w:val="center"/>
              <w:rPr>
                <w:rFonts w:eastAsiaTheme="minorHAnsi"/>
                <w:lang w:eastAsia="en-US"/>
              </w:rPr>
            </w:pPr>
            <w:r>
              <w:rPr>
                <w:rFonts w:eastAsiaTheme="minorHAnsi"/>
                <w:lang w:eastAsia="en-US"/>
              </w:rPr>
              <w:t>Дата поступления муниципального нормативного правового акта на антикоррупцион-ную экспертизу</w:t>
            </w:r>
          </w:p>
        </w:tc>
        <w:tc>
          <w:tcPr>
            <w:tcW w:w="2410" w:type="dxa"/>
            <w:tcBorders>
              <w:top w:val="single" w:color="auto" w:sz="4" w:space="0"/>
              <w:left w:val="single" w:color="auto" w:sz="4" w:space="0"/>
              <w:bottom w:val="single" w:color="auto" w:sz="4" w:space="0"/>
              <w:right w:val="single" w:color="auto" w:sz="4" w:space="0"/>
            </w:tcBorders>
          </w:tcPr>
          <w:p w14:paraId="0053FDA5">
            <w:pPr>
              <w:autoSpaceDE w:val="0"/>
              <w:autoSpaceDN w:val="0"/>
              <w:adjustRightInd w:val="0"/>
              <w:jc w:val="center"/>
              <w:rPr>
                <w:rFonts w:eastAsiaTheme="minorHAnsi"/>
                <w:lang w:eastAsia="en-US"/>
              </w:rPr>
            </w:pPr>
            <w:r>
              <w:rPr>
                <w:rFonts w:eastAsiaTheme="minorHAnsi"/>
                <w:lang w:eastAsia="en-US"/>
              </w:rPr>
              <w:t xml:space="preserve">Наименование муниципального нормативного правового акта, </w:t>
            </w:r>
          </w:p>
          <w:p w14:paraId="0B7832D9">
            <w:pPr>
              <w:autoSpaceDE w:val="0"/>
              <w:autoSpaceDN w:val="0"/>
              <w:adjustRightInd w:val="0"/>
              <w:jc w:val="center"/>
              <w:rPr>
                <w:rFonts w:eastAsiaTheme="minorHAnsi"/>
                <w:lang w:eastAsia="en-US"/>
              </w:rPr>
            </w:pPr>
            <w:r>
              <w:rPr>
                <w:rFonts w:eastAsiaTheme="minorHAnsi"/>
                <w:lang w:eastAsia="en-US"/>
              </w:rPr>
              <w:t>его реквизиты</w:t>
            </w:r>
          </w:p>
        </w:tc>
        <w:tc>
          <w:tcPr>
            <w:tcW w:w="2552" w:type="dxa"/>
            <w:tcBorders>
              <w:top w:val="single" w:color="auto" w:sz="4" w:space="0"/>
              <w:left w:val="single" w:color="auto" w:sz="4" w:space="0"/>
              <w:bottom w:val="single" w:color="auto" w:sz="4" w:space="0"/>
              <w:right w:val="single" w:color="auto" w:sz="4" w:space="0"/>
            </w:tcBorders>
          </w:tcPr>
          <w:p w14:paraId="47A13280">
            <w:pPr>
              <w:autoSpaceDE w:val="0"/>
              <w:autoSpaceDN w:val="0"/>
              <w:adjustRightInd w:val="0"/>
              <w:jc w:val="center"/>
              <w:rPr>
                <w:rFonts w:eastAsiaTheme="minorHAnsi"/>
                <w:lang w:eastAsia="en-US"/>
              </w:rPr>
            </w:pPr>
            <w:r>
              <w:rPr>
                <w:rFonts w:eastAsiaTheme="minorHAnsi"/>
                <w:lang w:eastAsia="en-US"/>
              </w:rPr>
              <w:t>Должность и Ф.И.О. (последнее – при наличии) муниципального служащего, ответственного за подготовку муниципального нормативного правового акта</w:t>
            </w:r>
          </w:p>
        </w:tc>
        <w:tc>
          <w:tcPr>
            <w:tcW w:w="2977" w:type="dxa"/>
            <w:tcBorders>
              <w:top w:val="single" w:color="auto" w:sz="4" w:space="0"/>
              <w:left w:val="single" w:color="auto" w:sz="4" w:space="0"/>
              <w:bottom w:val="single" w:color="auto" w:sz="4" w:space="0"/>
              <w:right w:val="single" w:color="auto" w:sz="4" w:space="0"/>
            </w:tcBorders>
          </w:tcPr>
          <w:p w14:paraId="4FA92D51">
            <w:pPr>
              <w:autoSpaceDE w:val="0"/>
              <w:autoSpaceDN w:val="0"/>
              <w:adjustRightInd w:val="0"/>
              <w:jc w:val="center"/>
              <w:rPr>
                <w:rFonts w:eastAsiaTheme="minorHAnsi"/>
                <w:lang w:eastAsia="en-US"/>
              </w:rPr>
            </w:pPr>
            <w:r>
              <w:rPr>
                <w:rFonts w:eastAsiaTheme="minorHAnsi"/>
                <w:lang w:eastAsia="en-US"/>
              </w:rPr>
              <w:t xml:space="preserve">Информация </w:t>
            </w:r>
          </w:p>
          <w:p w14:paraId="22A41766">
            <w:pPr>
              <w:autoSpaceDE w:val="0"/>
              <w:autoSpaceDN w:val="0"/>
              <w:adjustRightInd w:val="0"/>
              <w:jc w:val="center"/>
              <w:rPr>
                <w:rFonts w:eastAsiaTheme="minorHAnsi"/>
                <w:lang w:eastAsia="en-US"/>
              </w:rPr>
            </w:pPr>
            <w:r>
              <w:rPr>
                <w:rFonts w:eastAsiaTheme="minorHAnsi"/>
                <w:lang w:eastAsia="en-US"/>
              </w:rPr>
              <w:t>о наличии (отсутствии) коррупциогенных факторов</w:t>
            </w:r>
          </w:p>
        </w:tc>
        <w:tc>
          <w:tcPr>
            <w:tcW w:w="1785" w:type="dxa"/>
            <w:tcBorders>
              <w:top w:val="single" w:color="auto" w:sz="4" w:space="0"/>
              <w:left w:val="single" w:color="auto" w:sz="4" w:space="0"/>
              <w:bottom w:val="single" w:color="auto" w:sz="4" w:space="0"/>
              <w:right w:val="single" w:color="auto" w:sz="4" w:space="0"/>
            </w:tcBorders>
          </w:tcPr>
          <w:p w14:paraId="63CFF66B">
            <w:pPr>
              <w:autoSpaceDE w:val="0"/>
              <w:autoSpaceDN w:val="0"/>
              <w:adjustRightInd w:val="0"/>
              <w:jc w:val="center"/>
              <w:rPr>
                <w:rFonts w:eastAsiaTheme="minorHAnsi"/>
                <w:lang w:eastAsia="en-US"/>
              </w:rPr>
            </w:pPr>
            <w:r>
              <w:rPr>
                <w:rFonts w:eastAsiaTheme="minorHAnsi"/>
                <w:lang w:eastAsia="en-US"/>
              </w:rPr>
              <w:t>Номер и дата заключения по результатам антикорруп-ционной экспертизы</w:t>
            </w:r>
          </w:p>
          <w:p w14:paraId="272B42FB">
            <w:pPr>
              <w:autoSpaceDE w:val="0"/>
              <w:autoSpaceDN w:val="0"/>
              <w:adjustRightInd w:val="0"/>
              <w:jc w:val="center"/>
              <w:rPr>
                <w:rFonts w:eastAsiaTheme="minorHAnsi"/>
                <w:lang w:eastAsia="en-US"/>
              </w:rPr>
            </w:pPr>
            <w:r>
              <w:rPr>
                <w:rFonts w:eastAsiaTheme="minorHAnsi"/>
                <w:lang w:eastAsia="en-US"/>
              </w:rPr>
              <w:t>(в случае его подготовки)</w:t>
            </w:r>
          </w:p>
        </w:tc>
        <w:tc>
          <w:tcPr>
            <w:tcW w:w="2326" w:type="dxa"/>
            <w:tcBorders>
              <w:top w:val="single" w:color="auto" w:sz="4" w:space="0"/>
              <w:left w:val="single" w:color="auto" w:sz="4" w:space="0"/>
              <w:bottom w:val="single" w:color="auto" w:sz="4" w:space="0"/>
              <w:right w:val="single" w:color="auto" w:sz="4" w:space="0"/>
            </w:tcBorders>
          </w:tcPr>
          <w:p w14:paraId="189D8AF7">
            <w:pPr>
              <w:autoSpaceDE w:val="0"/>
              <w:autoSpaceDN w:val="0"/>
              <w:adjustRightInd w:val="0"/>
              <w:jc w:val="center"/>
              <w:rPr>
                <w:rFonts w:eastAsiaTheme="minorHAnsi"/>
                <w:lang w:eastAsia="en-US"/>
              </w:rPr>
            </w:pPr>
            <w:r>
              <w:rPr>
                <w:rFonts w:eastAsiaTheme="minorHAnsi"/>
                <w:lang w:eastAsia="en-US"/>
              </w:rPr>
              <w:t>Фамилия, инициалы, подпись</w:t>
            </w:r>
          </w:p>
          <w:p w14:paraId="62DC6825">
            <w:pPr>
              <w:autoSpaceDE w:val="0"/>
              <w:autoSpaceDN w:val="0"/>
              <w:adjustRightInd w:val="0"/>
              <w:jc w:val="center"/>
              <w:rPr>
                <w:rFonts w:eastAsiaTheme="minorHAnsi"/>
                <w:lang w:eastAsia="en-US"/>
              </w:rPr>
            </w:pPr>
            <w:r>
              <w:rPr>
                <w:rFonts w:eastAsiaTheme="minorHAnsi"/>
                <w:lang w:eastAsia="en-US"/>
              </w:rPr>
              <w:t>муниципального служащего, проводившего антикоррупционную экспертизу</w:t>
            </w:r>
          </w:p>
        </w:tc>
      </w:tr>
      <w:tr w14:paraId="44477C77">
        <w:tblPrEx>
          <w:tblCellMar>
            <w:top w:w="102" w:type="dxa"/>
            <w:left w:w="62" w:type="dxa"/>
            <w:bottom w:w="102" w:type="dxa"/>
            <w:right w:w="62" w:type="dxa"/>
          </w:tblCellMar>
        </w:tblPrEx>
        <w:trPr>
          <w:trHeight w:val="0" w:hRule="atLeast"/>
        </w:trPr>
        <w:tc>
          <w:tcPr>
            <w:tcW w:w="510" w:type="dxa"/>
            <w:tcBorders>
              <w:top w:val="single" w:color="auto" w:sz="4" w:space="0"/>
              <w:left w:val="single" w:color="auto" w:sz="4" w:space="0"/>
              <w:bottom w:val="single" w:color="auto" w:sz="4" w:space="0"/>
              <w:right w:val="single" w:color="auto" w:sz="4" w:space="0"/>
            </w:tcBorders>
          </w:tcPr>
          <w:p w14:paraId="3387AFF7">
            <w:pPr>
              <w:autoSpaceDE w:val="0"/>
              <w:autoSpaceDN w:val="0"/>
              <w:adjustRightInd w:val="0"/>
              <w:rPr>
                <w:rFonts w:eastAsiaTheme="minorHAnsi"/>
                <w:lang w:eastAsia="en-US"/>
              </w:rPr>
            </w:pPr>
          </w:p>
        </w:tc>
        <w:tc>
          <w:tcPr>
            <w:tcW w:w="2104" w:type="dxa"/>
            <w:tcBorders>
              <w:top w:val="single" w:color="auto" w:sz="4" w:space="0"/>
              <w:left w:val="single" w:color="auto" w:sz="4" w:space="0"/>
              <w:bottom w:val="single" w:color="auto" w:sz="4" w:space="0"/>
              <w:right w:val="single" w:color="auto" w:sz="4" w:space="0"/>
            </w:tcBorders>
          </w:tcPr>
          <w:p w14:paraId="7DCE5618">
            <w:pPr>
              <w:autoSpaceDE w:val="0"/>
              <w:autoSpaceDN w:val="0"/>
              <w:adjustRightInd w:val="0"/>
              <w:rPr>
                <w:rFonts w:eastAsiaTheme="minorHAnsi"/>
                <w:lang w:eastAsia="en-US"/>
              </w:rPr>
            </w:pPr>
          </w:p>
        </w:tc>
        <w:tc>
          <w:tcPr>
            <w:tcW w:w="2410" w:type="dxa"/>
            <w:tcBorders>
              <w:top w:val="single" w:color="auto" w:sz="4" w:space="0"/>
              <w:left w:val="single" w:color="auto" w:sz="4" w:space="0"/>
              <w:bottom w:val="single" w:color="auto" w:sz="4" w:space="0"/>
              <w:right w:val="single" w:color="auto" w:sz="4" w:space="0"/>
            </w:tcBorders>
          </w:tcPr>
          <w:p w14:paraId="2EF8AFD6">
            <w:pPr>
              <w:autoSpaceDE w:val="0"/>
              <w:autoSpaceDN w:val="0"/>
              <w:adjustRightInd w:val="0"/>
              <w:rPr>
                <w:rFonts w:eastAsiaTheme="minorHAnsi"/>
                <w:lang w:eastAsia="en-US"/>
              </w:rPr>
            </w:pPr>
          </w:p>
        </w:tc>
        <w:tc>
          <w:tcPr>
            <w:tcW w:w="2552" w:type="dxa"/>
            <w:tcBorders>
              <w:top w:val="single" w:color="auto" w:sz="4" w:space="0"/>
              <w:left w:val="single" w:color="auto" w:sz="4" w:space="0"/>
              <w:bottom w:val="single" w:color="auto" w:sz="4" w:space="0"/>
              <w:right w:val="single" w:color="auto" w:sz="4" w:space="0"/>
            </w:tcBorders>
          </w:tcPr>
          <w:p w14:paraId="743D8B02">
            <w:pPr>
              <w:autoSpaceDE w:val="0"/>
              <w:autoSpaceDN w:val="0"/>
              <w:adjustRightInd w:val="0"/>
              <w:rPr>
                <w:rFonts w:eastAsiaTheme="minorHAnsi"/>
                <w:lang w:eastAsia="en-US"/>
              </w:rPr>
            </w:pPr>
          </w:p>
        </w:tc>
        <w:tc>
          <w:tcPr>
            <w:tcW w:w="2977" w:type="dxa"/>
            <w:tcBorders>
              <w:top w:val="single" w:color="auto" w:sz="4" w:space="0"/>
              <w:left w:val="single" w:color="auto" w:sz="4" w:space="0"/>
              <w:bottom w:val="single" w:color="auto" w:sz="4" w:space="0"/>
              <w:right w:val="single" w:color="auto" w:sz="4" w:space="0"/>
            </w:tcBorders>
          </w:tcPr>
          <w:p w14:paraId="7498768E">
            <w:pPr>
              <w:autoSpaceDE w:val="0"/>
              <w:autoSpaceDN w:val="0"/>
              <w:adjustRightInd w:val="0"/>
              <w:rPr>
                <w:rFonts w:eastAsiaTheme="minorHAnsi"/>
                <w:lang w:eastAsia="en-US"/>
              </w:rPr>
            </w:pPr>
          </w:p>
        </w:tc>
        <w:tc>
          <w:tcPr>
            <w:tcW w:w="1785" w:type="dxa"/>
            <w:tcBorders>
              <w:top w:val="single" w:color="auto" w:sz="4" w:space="0"/>
              <w:left w:val="single" w:color="auto" w:sz="4" w:space="0"/>
              <w:bottom w:val="single" w:color="auto" w:sz="4" w:space="0"/>
              <w:right w:val="single" w:color="auto" w:sz="4" w:space="0"/>
            </w:tcBorders>
          </w:tcPr>
          <w:p w14:paraId="161199E0">
            <w:pPr>
              <w:autoSpaceDE w:val="0"/>
              <w:autoSpaceDN w:val="0"/>
              <w:adjustRightInd w:val="0"/>
              <w:rPr>
                <w:rFonts w:eastAsiaTheme="minorHAnsi"/>
                <w:lang w:eastAsia="en-US"/>
              </w:rPr>
            </w:pPr>
          </w:p>
        </w:tc>
        <w:tc>
          <w:tcPr>
            <w:tcW w:w="2326" w:type="dxa"/>
            <w:tcBorders>
              <w:top w:val="single" w:color="auto" w:sz="4" w:space="0"/>
              <w:left w:val="single" w:color="auto" w:sz="4" w:space="0"/>
              <w:bottom w:val="single" w:color="auto" w:sz="4" w:space="0"/>
              <w:right w:val="single" w:color="auto" w:sz="4" w:space="0"/>
            </w:tcBorders>
          </w:tcPr>
          <w:p w14:paraId="55911E00">
            <w:pPr>
              <w:autoSpaceDE w:val="0"/>
              <w:autoSpaceDN w:val="0"/>
              <w:adjustRightInd w:val="0"/>
              <w:rPr>
                <w:rFonts w:eastAsiaTheme="minorHAnsi"/>
                <w:lang w:eastAsia="en-US"/>
              </w:rPr>
            </w:pPr>
          </w:p>
        </w:tc>
      </w:tr>
    </w:tbl>
    <w:p w14:paraId="7A52E846">
      <w:pPr>
        <w:autoSpaceDE w:val="0"/>
        <w:autoSpaceDN w:val="0"/>
        <w:adjustRightInd w:val="0"/>
        <w:jc w:val="both"/>
        <w:rPr>
          <w:rFonts w:eastAsiaTheme="minorHAnsi"/>
          <w:lang w:eastAsia="en-US"/>
        </w:rPr>
      </w:pPr>
    </w:p>
    <w:p w14:paraId="7ABF1055">
      <w:pPr>
        <w:spacing w:after="200" w:line="276" w:lineRule="auto"/>
        <w:jc w:val="center"/>
        <w:rPr>
          <w:rFonts w:hint="default" w:eastAsiaTheme="minorHAnsi"/>
          <w:lang w:val="ru-RU" w:eastAsia="en-US"/>
        </w:rPr>
      </w:pPr>
      <w:r>
        <w:rPr>
          <w:rFonts w:eastAsiaTheme="minorHAnsi"/>
          <w:lang w:eastAsia="en-US"/>
        </w:rPr>
        <w:t>_________</w:t>
      </w:r>
      <w:r>
        <w:rPr>
          <w:rFonts w:hint="default" w:eastAsiaTheme="minorHAnsi"/>
          <w:lang w:val="ru-RU" w:eastAsia="en-US"/>
        </w:rPr>
        <w:t>______</w:t>
      </w:r>
    </w:p>
    <w:p w14:paraId="1196DDCC"/>
    <w:sectPr>
      <w:pgSz w:w="16838" w:h="11906" w:orient="landscape"/>
      <w:pgMar w:top="1134" w:right="850" w:bottom="850" w:left="850" w:header="720" w:footer="720" w:gutter="0"/>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3"/>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1">
    <w:nsid w:val="0053208E"/>
    <w:multiLevelType w:val="multilevel"/>
    <w:tmpl w:val="0053208E"/>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1525748"/>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5">
    <w:name w:val="Основной шрифт абзаца1"/>
    <w:qFormat/>
    <w:uiPriority w:val="0"/>
  </w:style>
  <w:style w:type="paragraph" w:styleId="6">
    <w:name w:val="No Spacing"/>
    <w:autoRedefine/>
    <w:qFormat/>
    <w:uiPriority w:val="1"/>
    <w:pPr>
      <w:spacing w:after="0" w:line="240" w:lineRule="auto"/>
    </w:pPr>
    <w:rPr>
      <w:rFonts w:asciiTheme="minorHAnsi" w:hAnsiTheme="minorHAnsi" w:eastAsiaTheme="minorEastAsia" w:cstheme="minorBidi"/>
      <w:sz w:val="22"/>
      <w:szCs w:val="22"/>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C4F0DBE33EF543BEB43BDCFC4527C7A8_11</vt:lpwstr>
  </property>
</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87E1AD8BC68248E0AB8BB50A9F90DE1C_11</vt:lpwstr>
  </property>
</Properties>
</file>

<file path=customXml/itemProps1.xml><?xml version="1.0" encoding="utf-8"?>
<ds:datastoreItem xmlns:ds="http://schemas.openxmlformats.org/officeDocument/2006/customXml" ds:itemID="{1738a73e-aa53-4688-9931-1a6f6c4074be}">
  <ds:schemaRefs/>
</ds:datastoreItem>
</file>

<file path=customXml/itemProps2.xml><?xml version="1.0" encoding="utf-8"?>
<ds:datastoreItem xmlns:ds="http://schemas.openxmlformats.org/officeDocument/2006/customXml" ds:itemID="{73b3c8d6-ca75-4844-b3e7-97373fac3ee4}">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2024-10-21T10:21:00Z</dcterms:created>
  <dc:creator>Юлия</dc:creator>
  <cp:lastModifiedBy>Юлия</cp:lastModifiedBy>
  <dcterms:modified xsi:type="dcterms:W3CDTF">2025-12-01T18:10:15Z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87E1AD8BC68248E0AB8BB50A9F90DE1C_11</vt:lpwstr>
  </property>
</Properties>
</file>